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86" w:rsidRPr="000507A2" w:rsidRDefault="000507A2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0507A2">
        <w:rPr>
          <w:b/>
          <w:sz w:val="28"/>
          <w:szCs w:val="28"/>
        </w:rPr>
        <w:t xml:space="preserve">О сроках, местах и порядке информирования о результатах ЕГЭ-2024 </w:t>
      </w:r>
    </w:p>
    <w:p w:rsidR="00570486" w:rsidRDefault="000507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0486" w:rsidRDefault="000507A2">
      <w:pPr>
        <w:spacing w:after="3" w:line="249" w:lineRule="auto"/>
        <w:ind w:left="718" w:right="0"/>
        <w:jc w:val="left"/>
      </w:pPr>
      <w:r>
        <w:t>Результаты -</w:t>
      </w:r>
      <w:hyperlink r:id="rId4">
        <w:r>
          <w:t xml:space="preserve"> </w:t>
        </w:r>
      </w:hyperlink>
      <w:hyperlink r:id="rId5">
        <w:r>
          <w:rPr>
            <w:color w:val="0000FF"/>
            <w:u w:val="single" w:color="0000FF"/>
          </w:rPr>
          <w:t>https://obrnadzor.gov.ru/gia/gia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11/rezultaty/</w:t>
        </w:r>
      </w:hyperlink>
      <w:hyperlink r:id="rId8">
        <w:r>
          <w:t xml:space="preserve"> </w:t>
        </w:r>
      </w:hyperlink>
    </w:p>
    <w:p w:rsidR="00570486" w:rsidRDefault="000507A2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570486" w:rsidRDefault="000507A2">
      <w:pPr>
        <w:ind w:left="0" w:right="0" w:firstLine="708"/>
      </w:pPr>
      <w:r>
        <w:t>Результаты ГИА-11 признаются удовлетворите</w:t>
      </w:r>
      <w:r>
        <w:t xml:space="preserve">льными в случае, если участник ГИА-11 по обязательным учебным предметам набрал количество баллов не ниже минимального, определяемого </w:t>
      </w:r>
      <w:proofErr w:type="spellStart"/>
      <w:r>
        <w:t>Рособрнадзором</w:t>
      </w:r>
      <w:proofErr w:type="spellEnd"/>
      <w:r>
        <w:t xml:space="preserve">, или получил отметку не ниже удовлетворительной.  </w:t>
      </w:r>
    </w:p>
    <w:p w:rsidR="00570486" w:rsidRDefault="000507A2">
      <w:pPr>
        <w:ind w:left="0" w:right="0" w:firstLine="708"/>
      </w:pPr>
      <w:r>
        <w:t>Пересдача неудовлетвор</w:t>
      </w:r>
      <w:bookmarkStart w:id="0" w:name="_GoBack"/>
      <w:bookmarkEnd w:id="0"/>
      <w:r>
        <w:t>ительного результата экзамена в тек</w:t>
      </w:r>
      <w:r>
        <w:t xml:space="preserve">ущем учебном году предусмотрена только по обязательным учебным предметам; по учебным </w:t>
      </w:r>
      <w:proofErr w:type="gramStart"/>
      <w:r>
        <w:t>предметам  по</w:t>
      </w:r>
      <w:proofErr w:type="gramEnd"/>
      <w:r>
        <w:t xml:space="preserve"> выбору – только через год. </w:t>
      </w:r>
    </w:p>
    <w:p w:rsidR="00570486" w:rsidRDefault="000507A2">
      <w:pPr>
        <w:spacing w:after="37" w:line="249" w:lineRule="auto"/>
        <w:ind w:left="718" w:right="0"/>
        <w:jc w:val="left"/>
      </w:pPr>
      <w:r>
        <w:rPr>
          <w:color w:val="0000FF"/>
          <w:u w:val="single" w:color="0000FF"/>
        </w:rPr>
        <w:t>Сервис проверки результатов ЕГЭ</w:t>
      </w:r>
      <w:r>
        <w:t xml:space="preserve"> -  </w:t>
      </w:r>
      <w:hyperlink r:id="rId9">
        <w:r>
          <w:rPr>
            <w:color w:val="0000FF"/>
            <w:u w:val="single" w:color="0000FF"/>
          </w:rPr>
          <w:t>https://checkege.rustest.ru/</w:t>
        </w:r>
      </w:hyperlink>
      <w:hyperlink r:id="rId10">
        <w:r>
          <w:t xml:space="preserve"> </w:t>
        </w:r>
      </w:hyperlink>
    </w:p>
    <w:p w:rsidR="00570486" w:rsidRDefault="000507A2">
      <w:pPr>
        <w:spacing w:after="12" w:line="271" w:lineRule="auto"/>
        <w:ind w:left="703" w:right="0"/>
        <w:jc w:val="left"/>
      </w:pPr>
      <w:r>
        <w:rPr>
          <w:b/>
        </w:rPr>
        <w:t xml:space="preserve">Минимальное количество баллов ЕГЭ </w:t>
      </w:r>
    </w:p>
    <w:p w:rsidR="00570486" w:rsidRDefault="000507A2">
      <w:pPr>
        <w:ind w:left="0" w:right="0" w:firstLine="708"/>
      </w:pPr>
      <w:r>
        <w:t xml:space="preserve">Минимальное количество баллов ЕГЭ по 100-балльной системе оценивания, подтверждающее освоение образовательной программы среднего общего образования </w:t>
      </w:r>
    </w:p>
    <w:p w:rsidR="00570486" w:rsidRDefault="000507A2">
      <w:pPr>
        <w:ind w:left="703" w:right="0"/>
      </w:pPr>
      <w:r>
        <w:t xml:space="preserve">Русский язык – 24 балла; </w:t>
      </w:r>
    </w:p>
    <w:p w:rsidR="00570486" w:rsidRDefault="000507A2">
      <w:pPr>
        <w:ind w:left="703" w:right="0"/>
      </w:pPr>
      <w:r>
        <w:t>Математика про</w:t>
      </w:r>
      <w:r>
        <w:t xml:space="preserve">фильного уровня – 27 баллов; </w:t>
      </w:r>
    </w:p>
    <w:p w:rsidR="00570486" w:rsidRDefault="000507A2">
      <w:pPr>
        <w:ind w:left="703" w:right="0"/>
      </w:pPr>
      <w:r>
        <w:t xml:space="preserve">Физика – 36 баллов; </w:t>
      </w:r>
    </w:p>
    <w:p w:rsidR="00570486" w:rsidRDefault="000507A2">
      <w:pPr>
        <w:ind w:left="703" w:right="0"/>
      </w:pPr>
      <w:r>
        <w:t xml:space="preserve">Химия – 36 баллов; </w:t>
      </w:r>
    </w:p>
    <w:p w:rsidR="00570486" w:rsidRDefault="000507A2">
      <w:pPr>
        <w:ind w:left="703" w:right="0"/>
      </w:pPr>
      <w:r>
        <w:t xml:space="preserve">Информатика и информационно-коммуникационные технологии (ИКТ) – 40 баллов; </w:t>
      </w:r>
    </w:p>
    <w:p w:rsidR="00570486" w:rsidRDefault="000507A2">
      <w:pPr>
        <w:ind w:left="703" w:right="0"/>
      </w:pPr>
      <w:r>
        <w:t xml:space="preserve">Биология – 36 баллов; </w:t>
      </w:r>
    </w:p>
    <w:p w:rsidR="00570486" w:rsidRDefault="000507A2">
      <w:pPr>
        <w:ind w:left="703" w:right="0"/>
      </w:pPr>
      <w:r>
        <w:t xml:space="preserve">История – 32 балла; </w:t>
      </w:r>
    </w:p>
    <w:p w:rsidR="00570486" w:rsidRDefault="000507A2">
      <w:pPr>
        <w:ind w:left="703" w:right="0"/>
      </w:pPr>
      <w:r>
        <w:t xml:space="preserve">География – 37 баллов; </w:t>
      </w:r>
    </w:p>
    <w:p w:rsidR="00570486" w:rsidRDefault="000507A2">
      <w:pPr>
        <w:ind w:left="703" w:right="0"/>
      </w:pPr>
      <w:r>
        <w:t xml:space="preserve">Обществознание – 42 балла; </w:t>
      </w:r>
    </w:p>
    <w:p w:rsidR="00570486" w:rsidRDefault="000507A2">
      <w:pPr>
        <w:ind w:left="703" w:right="0"/>
      </w:pPr>
      <w:r>
        <w:t xml:space="preserve">Литература – </w:t>
      </w:r>
      <w:r>
        <w:t xml:space="preserve">32 балла; </w:t>
      </w:r>
    </w:p>
    <w:p w:rsidR="00570486" w:rsidRDefault="000507A2">
      <w:pPr>
        <w:ind w:left="0" w:right="0" w:firstLine="708"/>
      </w:pPr>
      <w:r>
        <w:t xml:space="preserve">Иностранные языки (английский, французский, немецкий, испанский, китайский) – 22 балла. </w:t>
      </w:r>
    </w:p>
    <w:p w:rsidR="00570486" w:rsidRDefault="000507A2">
      <w:pPr>
        <w:spacing w:after="4" w:line="279" w:lineRule="auto"/>
        <w:ind w:left="0" w:right="0" w:firstLine="708"/>
        <w:jc w:val="left"/>
      </w:pPr>
      <w:r>
        <w:t>Минимальное количество баллов ЕГЭ по 5-балльной системе оценивания, подтверждающее освоение образовательной программы среднего общего образования по математ</w:t>
      </w:r>
      <w:r>
        <w:t xml:space="preserve">ике базового уровня – 3 балла (удовлетворительно). </w:t>
      </w:r>
    </w:p>
    <w:p w:rsidR="00570486" w:rsidRDefault="000507A2">
      <w:pPr>
        <w:spacing w:after="12" w:line="271" w:lineRule="auto"/>
        <w:ind w:left="0" w:right="0" w:firstLine="708"/>
        <w:jc w:val="left"/>
      </w:pPr>
      <w:r>
        <w:rPr>
          <w:b/>
        </w:rPr>
        <w:t xml:space="preserve">Минимальное количество баллов ЕГЭ по 100-балльной системе оценивания, необходимое для поступления в вузы </w:t>
      </w:r>
    </w:p>
    <w:p w:rsidR="00570486" w:rsidRDefault="000507A2">
      <w:pPr>
        <w:ind w:left="703" w:right="0"/>
      </w:pPr>
      <w:r>
        <w:t xml:space="preserve">Русский язык – 36 балла; </w:t>
      </w:r>
    </w:p>
    <w:p w:rsidR="00570486" w:rsidRDefault="000507A2">
      <w:pPr>
        <w:ind w:left="703" w:right="0"/>
      </w:pPr>
      <w:r>
        <w:t xml:space="preserve">Математика профильного уровня – 27 баллов; </w:t>
      </w:r>
    </w:p>
    <w:p w:rsidR="00570486" w:rsidRDefault="000507A2">
      <w:pPr>
        <w:ind w:left="703" w:right="0"/>
      </w:pPr>
      <w:r>
        <w:t xml:space="preserve">Физика – 36 баллов; </w:t>
      </w:r>
    </w:p>
    <w:p w:rsidR="00570486" w:rsidRDefault="000507A2">
      <w:pPr>
        <w:ind w:left="703" w:right="0"/>
      </w:pPr>
      <w:r>
        <w:t>Химия –</w:t>
      </w:r>
      <w:r>
        <w:t xml:space="preserve"> 36 баллов; </w:t>
      </w:r>
    </w:p>
    <w:p w:rsidR="00570486" w:rsidRDefault="000507A2">
      <w:pPr>
        <w:ind w:left="703" w:right="0"/>
      </w:pPr>
      <w:r>
        <w:t xml:space="preserve">Информатика и информационно-коммуникационные технологии (ИКТ) – 40 баллов; </w:t>
      </w:r>
    </w:p>
    <w:p w:rsidR="00570486" w:rsidRDefault="000507A2">
      <w:pPr>
        <w:ind w:left="703" w:right="0"/>
      </w:pPr>
      <w:r>
        <w:t xml:space="preserve">Биология – 36 баллов; </w:t>
      </w:r>
    </w:p>
    <w:p w:rsidR="00570486" w:rsidRDefault="000507A2">
      <w:pPr>
        <w:ind w:left="703" w:right="0"/>
      </w:pPr>
      <w:r>
        <w:t xml:space="preserve">История – 32 балла; </w:t>
      </w:r>
    </w:p>
    <w:p w:rsidR="00570486" w:rsidRDefault="000507A2">
      <w:pPr>
        <w:ind w:left="703" w:right="0"/>
      </w:pPr>
      <w:r>
        <w:t xml:space="preserve">География – 37 баллов; </w:t>
      </w:r>
    </w:p>
    <w:p w:rsidR="00570486" w:rsidRDefault="000507A2">
      <w:pPr>
        <w:ind w:left="703" w:right="0"/>
      </w:pPr>
      <w:r>
        <w:t xml:space="preserve">Обществознание – 42 балла; </w:t>
      </w:r>
    </w:p>
    <w:p w:rsidR="00570486" w:rsidRDefault="000507A2">
      <w:pPr>
        <w:ind w:left="703" w:right="0"/>
      </w:pPr>
      <w:r>
        <w:t xml:space="preserve">Литература – 32 балла; </w:t>
      </w:r>
    </w:p>
    <w:p w:rsidR="00570486" w:rsidRDefault="000507A2">
      <w:pPr>
        <w:ind w:left="0" w:right="0" w:firstLine="708"/>
      </w:pPr>
      <w:r>
        <w:t xml:space="preserve">Иностранные языки (английский, французский, немецкий, испанский, китайский) – 22 балла. </w:t>
      </w:r>
    </w:p>
    <w:p w:rsidR="00570486" w:rsidRDefault="000507A2">
      <w:pPr>
        <w:spacing w:after="12" w:line="271" w:lineRule="auto"/>
        <w:ind w:left="703" w:right="0"/>
        <w:jc w:val="left"/>
      </w:pPr>
      <w:r>
        <w:rPr>
          <w:b/>
        </w:rPr>
        <w:t xml:space="preserve">Сроки проверки экзаменационных работ </w:t>
      </w:r>
    </w:p>
    <w:p w:rsidR="00570486" w:rsidRDefault="000507A2">
      <w:pPr>
        <w:spacing w:after="12" w:line="271" w:lineRule="auto"/>
        <w:ind w:left="703" w:right="0"/>
        <w:jc w:val="left"/>
      </w:pPr>
      <w:r>
        <w:rPr>
          <w:b/>
        </w:rPr>
        <w:t xml:space="preserve">Прием и рассмотрение апелляций </w:t>
      </w:r>
    </w:p>
    <w:p w:rsidR="00570486" w:rsidRDefault="000507A2" w:rsidP="000507A2">
      <w:pPr>
        <w:spacing w:after="3" w:line="249" w:lineRule="auto"/>
        <w:ind w:left="-5" w:right="0"/>
        <w:jc w:val="center"/>
      </w:pPr>
      <w:r>
        <w:lastRenderedPageBreak/>
        <w:t xml:space="preserve">Таблицы соответствия первичных и тестовых баллов ЕГЭ  </w:t>
      </w:r>
      <w:hyperlink r:id="rId11">
        <w:r>
          <w:rPr>
            <w:color w:val="0000FF"/>
            <w:u w:val="single" w:color="0000FF"/>
          </w:rPr>
          <w:t>https://obrnadzor.gov.ru/wp</w:t>
        </w:r>
      </w:hyperlink>
      <w:hyperlink r:id="rId12"/>
      <w:hyperlink r:id="rId13">
        <w:r>
          <w:rPr>
            <w:color w:val="0000FF"/>
            <w:u w:val="single" w:color="0000FF"/>
          </w:rPr>
          <w:t>content/uploads/2023/04/tabliczy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sootvetstviya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pervichnyh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i</w:t>
        </w:r>
      </w:hyperlink>
      <w:hyperlink r:id="rId20">
        <w:r>
          <w:rPr>
            <w:color w:val="0000FF"/>
            <w:u w:val="single" w:color="0000FF"/>
          </w:rPr>
          <w:t>-</w:t>
        </w:r>
      </w:hyperlink>
      <w:hyperlink r:id="rId21">
        <w:r>
          <w:rPr>
            <w:color w:val="0000FF"/>
            <w:u w:val="single" w:color="0000FF"/>
          </w:rPr>
          <w:t>testovyh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ballov</w:t>
        </w:r>
      </w:hyperlink>
      <w:hyperlink r:id="rId24">
        <w:r>
          <w:rPr>
            <w:color w:val="0000FF"/>
            <w:u w:val="single" w:color="0000FF"/>
          </w:rPr>
          <w:t>-</w:t>
        </w:r>
      </w:hyperlink>
      <w:hyperlink r:id="rId25">
        <w:r>
          <w:rPr>
            <w:color w:val="0000FF"/>
            <w:u w:val="single" w:color="0000FF"/>
          </w:rPr>
          <w:t>ege.pdf</w:t>
        </w:r>
      </w:hyperlink>
      <w:hyperlink r:id="rId26">
        <w:r>
          <w:t xml:space="preserve"> </w:t>
        </w:r>
      </w:hyperlink>
    </w:p>
    <w:p w:rsidR="00570486" w:rsidRDefault="000507A2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570486" w:rsidRDefault="000507A2" w:rsidP="000507A2">
      <w:pPr>
        <w:ind w:right="0"/>
        <w:jc w:val="center"/>
      </w:pPr>
      <w:r>
        <w:t>Алгоритм установления соответствия первичных и тестовых баллов ЕГЭ</w:t>
      </w:r>
    </w:p>
    <w:p w:rsidR="00570486" w:rsidRDefault="000507A2" w:rsidP="000507A2">
      <w:pPr>
        <w:spacing w:after="3" w:line="249" w:lineRule="auto"/>
        <w:ind w:left="-5" w:right="0"/>
        <w:jc w:val="center"/>
      </w:pPr>
      <w:hyperlink r:id="rId27">
        <w:r>
          <w:t xml:space="preserve"> </w:t>
        </w:r>
      </w:hyperlink>
      <w:hyperlink r:id="rId28">
        <w:r>
          <w:rPr>
            <w:color w:val="0000FF"/>
            <w:u w:val="single" w:color="0000FF"/>
          </w:rPr>
          <w:t>https://obrnadzor.gov.ru/wp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content/uploads/2023/04/algoritm</w:t>
        </w:r>
      </w:hyperlink>
      <w:hyperlink r:id="rId31">
        <w:r>
          <w:rPr>
            <w:color w:val="0000FF"/>
            <w:u w:val="single" w:color="0000FF"/>
          </w:rPr>
          <w:t>-</w:t>
        </w:r>
      </w:hyperlink>
      <w:hyperlink r:id="rId32">
        <w:r>
          <w:rPr>
            <w:color w:val="0000FF"/>
            <w:u w:val="single" w:color="0000FF"/>
          </w:rPr>
          <w:t>ustanovleniya</w:t>
        </w:r>
      </w:hyperlink>
      <w:hyperlink r:id="rId33">
        <w:r>
          <w:rPr>
            <w:color w:val="0000FF"/>
            <w:u w:val="single" w:color="0000FF"/>
          </w:rPr>
          <w:t>-</w:t>
        </w:r>
      </w:hyperlink>
      <w:hyperlink r:id="rId34">
        <w:r>
          <w:rPr>
            <w:color w:val="0000FF"/>
            <w:u w:val="single" w:color="0000FF"/>
          </w:rPr>
          <w:t>sootvetstviya</w:t>
        </w:r>
      </w:hyperlink>
      <w:hyperlink r:id="rId35"/>
      <w:hyperlink r:id="rId36">
        <w:r>
          <w:rPr>
            <w:color w:val="0000FF"/>
            <w:u w:val="single" w:color="0000FF"/>
          </w:rPr>
          <w:t>pervichnyh</w:t>
        </w:r>
      </w:hyperlink>
      <w:hyperlink r:id="rId37">
        <w:r>
          <w:rPr>
            <w:color w:val="0000FF"/>
            <w:u w:val="single" w:color="0000FF"/>
          </w:rPr>
          <w:t>-</w:t>
        </w:r>
      </w:hyperlink>
      <w:hyperlink r:id="rId38">
        <w:r>
          <w:rPr>
            <w:color w:val="0000FF"/>
            <w:u w:val="single" w:color="0000FF"/>
          </w:rPr>
          <w:t>i</w:t>
        </w:r>
      </w:hyperlink>
      <w:hyperlink r:id="rId39">
        <w:r>
          <w:rPr>
            <w:color w:val="0000FF"/>
            <w:u w:val="single" w:color="0000FF"/>
          </w:rPr>
          <w:t>-</w:t>
        </w:r>
      </w:hyperlink>
      <w:hyperlink r:id="rId40">
        <w:r>
          <w:rPr>
            <w:color w:val="0000FF"/>
            <w:u w:val="single" w:color="0000FF"/>
          </w:rPr>
          <w:t>testovyh</w:t>
        </w:r>
      </w:hyperlink>
      <w:hyperlink r:id="rId41">
        <w:r>
          <w:rPr>
            <w:color w:val="0000FF"/>
            <w:u w:val="single" w:color="0000FF"/>
          </w:rPr>
          <w:t>-</w:t>
        </w:r>
      </w:hyperlink>
      <w:hyperlink r:id="rId42">
        <w:r>
          <w:rPr>
            <w:color w:val="0000FF"/>
            <w:u w:val="single" w:color="0000FF"/>
          </w:rPr>
          <w:t>ballov</w:t>
        </w:r>
      </w:hyperlink>
      <w:hyperlink r:id="rId43">
        <w:r>
          <w:rPr>
            <w:color w:val="0000FF"/>
            <w:u w:val="single" w:color="0000FF"/>
          </w:rPr>
          <w:t>-</w:t>
        </w:r>
      </w:hyperlink>
      <w:hyperlink r:id="rId44">
        <w:r>
          <w:rPr>
            <w:color w:val="0000FF"/>
            <w:u w:val="single" w:color="0000FF"/>
          </w:rPr>
          <w:t>ege.pdf</w:t>
        </w:r>
      </w:hyperlink>
      <w:hyperlink r:id="rId45">
        <w:r>
          <w:t xml:space="preserve"> </w:t>
        </w:r>
      </w:hyperlink>
    </w:p>
    <w:p w:rsidR="00570486" w:rsidRDefault="000507A2">
      <w:pPr>
        <w:ind w:left="0" w:right="0" w:firstLine="708"/>
      </w:pPr>
      <w:r>
        <w:t>Управления образованием в тот же день направляют результаты экзаменов в общеобразовательные организации для официального ознакомления участников экзаменов с утвержденными председателем ГЭК результатам</w:t>
      </w:r>
      <w:r>
        <w:t xml:space="preserve">и. </w:t>
      </w:r>
    </w:p>
    <w:p w:rsidR="00570486" w:rsidRDefault="000507A2">
      <w:pPr>
        <w:ind w:left="0" w:right="0" w:firstLine="708"/>
      </w:pPr>
      <w:r>
        <w:t>Официальное ознакомление участников экзаменов с полученными ими результатами по учебному предмету осуществляется в течение одного рабочего дня со дня их передачи в органы местного самоуправления, осуществляющие управление в сфере образования. Указанный</w:t>
      </w:r>
      <w:r>
        <w:t xml:space="preserve"> день считается официальным днем объявления результатов экзаменов. </w:t>
      </w:r>
    </w:p>
    <w:p w:rsidR="00570486" w:rsidRDefault="000507A2">
      <w:pPr>
        <w:spacing w:after="12" w:line="271" w:lineRule="auto"/>
        <w:ind w:left="703" w:right="0"/>
        <w:jc w:val="left"/>
      </w:pPr>
      <w:r>
        <w:rPr>
          <w:b/>
        </w:rPr>
        <w:t xml:space="preserve">Места официального ознакомления с результатами экзаменов: </w:t>
      </w:r>
    </w:p>
    <w:p w:rsidR="00570486" w:rsidRDefault="000507A2" w:rsidP="000507A2">
      <w:pPr>
        <w:spacing w:after="19" w:line="259" w:lineRule="auto"/>
        <w:ind w:left="0" w:right="7" w:firstLine="0"/>
        <w:jc w:val="center"/>
      </w:pPr>
      <w:r>
        <w:t>-</w:t>
      </w:r>
      <w:r>
        <w:t xml:space="preserve">для участников ГИА-11 – в образовательной организации, которой они были </w:t>
      </w:r>
    </w:p>
    <w:p w:rsidR="000507A2" w:rsidRDefault="000507A2">
      <w:pPr>
        <w:ind w:left="708" w:right="0" w:hanging="708"/>
      </w:pPr>
      <w:r>
        <w:t xml:space="preserve">допущены в установленном порядке к ГИА-11; </w:t>
      </w:r>
    </w:p>
    <w:p w:rsidR="00570486" w:rsidRDefault="000507A2" w:rsidP="000507A2">
      <w:pPr>
        <w:ind w:left="708" w:right="0" w:firstLine="0"/>
      </w:pPr>
      <w:r>
        <w:t>-</w:t>
      </w:r>
      <w:r>
        <w:t>для участнико</w:t>
      </w:r>
      <w:r>
        <w:t xml:space="preserve">в ЕГЭ (выпускников прошлых лет) – в управлении образованием (по </w:t>
      </w:r>
    </w:p>
    <w:p w:rsidR="00570486" w:rsidRDefault="000507A2">
      <w:pPr>
        <w:ind w:right="0"/>
      </w:pPr>
      <w:r>
        <w:t xml:space="preserve">месту регистрации на сдачу ЕГЭ). </w:t>
      </w:r>
    </w:p>
    <w:p w:rsidR="00570486" w:rsidRDefault="000507A2">
      <w:pPr>
        <w:ind w:left="0" w:right="0" w:firstLine="708"/>
      </w:pPr>
      <w:r>
        <w:t>Предварительное ознакомление участников экзаменов с полученными ими результатами экзаменов по соответствующему учебному предмету может осуществляться с испол</w:t>
      </w:r>
      <w:r>
        <w:t>ьзованием информационно – коммуникационных технологий на официальном информационном портале ЕГЭ (</w:t>
      </w:r>
      <w:hyperlink r:id="rId46">
        <w:r>
          <w:rPr>
            <w:color w:val="0000FF"/>
            <w:u w:val="single" w:color="0000FF"/>
          </w:rPr>
          <w:t>https://checkege.rustest.ru/</w:t>
        </w:r>
      </w:hyperlink>
      <w:hyperlink r:id="rId47">
        <w:r>
          <w:t>)</w:t>
        </w:r>
      </w:hyperlink>
      <w:r>
        <w:t xml:space="preserve"> в разделе «Участникам ЕГЭ», далее</w:t>
      </w:r>
      <w:r>
        <w:t xml:space="preserve"> «Проверить результаты ЕГЭ». </w:t>
      </w:r>
    </w:p>
    <w:p w:rsidR="00570486" w:rsidRDefault="000507A2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70486">
      <w:pgSz w:w="11906" w:h="16838"/>
      <w:pgMar w:top="1189" w:right="845" w:bottom="13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86"/>
    <w:rsid w:val="000507A2"/>
    <w:rsid w:val="005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C63D"/>
  <w15:docId w15:val="{D9A503EC-34FD-43C2-83C4-0D39CCD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brnadzor.gov.ru/wp-content/uploads/2023/04/tabliczy-sootvetstviya-pervichnyh-i-testovyh-ballov-ege.pdf" TargetMode="External"/><Relationship Id="rId18" Type="http://schemas.openxmlformats.org/officeDocument/2006/relationships/hyperlink" Target="https://obrnadzor.gov.ru/wp-content/uploads/2023/04/tabliczy-sootvetstviya-pervichnyh-i-testovyh-ballov-ege.pdf" TargetMode="External"/><Relationship Id="rId26" Type="http://schemas.openxmlformats.org/officeDocument/2006/relationships/hyperlink" Target="https://obrnadzor.gov.ru/wp-content/uploads/2023/04/tabliczy-sootvetstviya-pervichnyh-i-testovyh-ballov-ege.pdf" TargetMode="External"/><Relationship Id="rId39" Type="http://schemas.openxmlformats.org/officeDocument/2006/relationships/hyperlink" Target="https://obrnadzor.gov.ru/wp-content/uploads/2023/04/algoritm-ustanovleniya-sootvetstviya-pervichnyh-i-testovyh-ballov-ege.pdf" TargetMode="External"/><Relationship Id="rId21" Type="http://schemas.openxmlformats.org/officeDocument/2006/relationships/hyperlink" Target="https://obrnadzor.gov.ru/wp-content/uploads/2023/04/tabliczy-sootvetstviya-pervichnyh-i-testovyh-ballov-ege.pdf" TargetMode="External"/><Relationship Id="rId34" Type="http://schemas.openxmlformats.org/officeDocument/2006/relationships/hyperlink" Target="https://obrnadzor.gov.ru/wp-content/uploads/2023/04/algoritm-ustanovleniya-sootvetstviya-pervichnyh-i-testovyh-ballov-ege.pdf" TargetMode="External"/><Relationship Id="rId42" Type="http://schemas.openxmlformats.org/officeDocument/2006/relationships/hyperlink" Target="https://obrnadzor.gov.ru/wp-content/uploads/2023/04/algoritm-ustanovleniya-sootvetstviya-pervichnyh-i-testovyh-ballov-ege.pdf" TargetMode="External"/><Relationship Id="rId47" Type="http://schemas.openxmlformats.org/officeDocument/2006/relationships/hyperlink" Target="https://checkege.rustest.ru/" TargetMode="External"/><Relationship Id="rId7" Type="http://schemas.openxmlformats.org/officeDocument/2006/relationships/hyperlink" Target="https://obrnadzor.gov.ru/gia/gia-11/rezultat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brnadzor.gov.ru/wp-content/uploads/2023/04/tabliczy-sootvetstviya-pervichnyh-i-testovyh-ballov-ege.pdf" TargetMode="External"/><Relationship Id="rId29" Type="http://schemas.openxmlformats.org/officeDocument/2006/relationships/hyperlink" Target="https://obrnadzor.gov.ru/wp-content/uploads/2023/04/algoritm-ustanovleniya-sootvetstviya-pervichnyh-i-testovyh-ballov-ege.pdf" TargetMode="External"/><Relationship Id="rId11" Type="http://schemas.openxmlformats.org/officeDocument/2006/relationships/hyperlink" Target="https://obrnadzor.gov.ru/wp-content/uploads/2023/04/tabliczy-sootvetstviya-pervichnyh-i-testovyh-ballov-ege.pdf" TargetMode="External"/><Relationship Id="rId24" Type="http://schemas.openxmlformats.org/officeDocument/2006/relationships/hyperlink" Target="https://obrnadzor.gov.ru/wp-content/uploads/2023/04/tabliczy-sootvetstviya-pervichnyh-i-testovyh-ballov-ege.pdf" TargetMode="External"/><Relationship Id="rId32" Type="http://schemas.openxmlformats.org/officeDocument/2006/relationships/hyperlink" Target="https://obrnadzor.gov.ru/wp-content/uploads/2023/04/algoritm-ustanovleniya-sootvetstviya-pervichnyh-i-testovyh-ballov-ege.pdf" TargetMode="External"/><Relationship Id="rId37" Type="http://schemas.openxmlformats.org/officeDocument/2006/relationships/hyperlink" Target="https://obrnadzor.gov.ru/wp-content/uploads/2023/04/algoritm-ustanovleniya-sootvetstviya-pervichnyh-i-testovyh-ballov-ege.pdf" TargetMode="External"/><Relationship Id="rId40" Type="http://schemas.openxmlformats.org/officeDocument/2006/relationships/hyperlink" Target="https://obrnadzor.gov.ru/wp-content/uploads/2023/04/algoritm-ustanovleniya-sootvetstviya-pervichnyh-i-testovyh-ballov-ege.pdf" TargetMode="External"/><Relationship Id="rId45" Type="http://schemas.openxmlformats.org/officeDocument/2006/relationships/hyperlink" Target="https://obrnadzor.gov.ru/wp-content/uploads/2023/04/algoritm-ustanovleniya-sootvetstviya-pervichnyh-i-testovyh-ballov-ege.pdf" TargetMode="External"/><Relationship Id="rId5" Type="http://schemas.openxmlformats.org/officeDocument/2006/relationships/hyperlink" Target="https://obrnadzor.gov.ru/gia/gia-11/rezultaty/" TargetMode="External"/><Relationship Id="rId15" Type="http://schemas.openxmlformats.org/officeDocument/2006/relationships/hyperlink" Target="https://obrnadzor.gov.ru/wp-content/uploads/2023/04/tabliczy-sootvetstviya-pervichnyh-i-testovyh-ballov-ege.pdf" TargetMode="External"/><Relationship Id="rId23" Type="http://schemas.openxmlformats.org/officeDocument/2006/relationships/hyperlink" Target="https://obrnadzor.gov.ru/wp-content/uploads/2023/04/tabliczy-sootvetstviya-pervichnyh-i-testovyh-ballov-ege.pdf" TargetMode="External"/><Relationship Id="rId28" Type="http://schemas.openxmlformats.org/officeDocument/2006/relationships/hyperlink" Target="https://obrnadzor.gov.ru/wp-content/uploads/2023/04/algoritm-ustanovleniya-sootvetstviya-pervichnyh-i-testovyh-ballov-ege.pdf" TargetMode="External"/><Relationship Id="rId36" Type="http://schemas.openxmlformats.org/officeDocument/2006/relationships/hyperlink" Target="https://obrnadzor.gov.ru/wp-content/uploads/2023/04/algoritm-ustanovleniya-sootvetstviya-pervichnyh-i-testovyh-ballov-ege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heckege.rustest.ru/" TargetMode="External"/><Relationship Id="rId19" Type="http://schemas.openxmlformats.org/officeDocument/2006/relationships/hyperlink" Target="https://obrnadzor.gov.ru/wp-content/uploads/2023/04/tabliczy-sootvetstviya-pervichnyh-i-testovyh-ballov-ege.pdf" TargetMode="External"/><Relationship Id="rId31" Type="http://schemas.openxmlformats.org/officeDocument/2006/relationships/hyperlink" Target="https://obrnadzor.gov.ru/wp-content/uploads/2023/04/algoritm-ustanovleniya-sootvetstviya-pervichnyh-i-testovyh-ballov-ege.pdf" TargetMode="External"/><Relationship Id="rId44" Type="http://schemas.openxmlformats.org/officeDocument/2006/relationships/hyperlink" Target="https://obrnadzor.gov.ru/wp-content/uploads/2023/04/algoritm-ustanovleniya-sootvetstviya-pervichnyh-i-testovyh-ballov-ege.pdf" TargetMode="External"/><Relationship Id="rId4" Type="http://schemas.openxmlformats.org/officeDocument/2006/relationships/hyperlink" Target="https://obrnadzor.gov.ru/gia/gia-11/rezultaty/" TargetMode="External"/><Relationship Id="rId9" Type="http://schemas.openxmlformats.org/officeDocument/2006/relationships/hyperlink" Target="https://checkege.rustest.ru/" TargetMode="External"/><Relationship Id="rId14" Type="http://schemas.openxmlformats.org/officeDocument/2006/relationships/hyperlink" Target="https://obrnadzor.gov.ru/wp-content/uploads/2023/04/tabliczy-sootvetstviya-pervichnyh-i-testovyh-ballov-ege.pdf" TargetMode="External"/><Relationship Id="rId22" Type="http://schemas.openxmlformats.org/officeDocument/2006/relationships/hyperlink" Target="https://obrnadzor.gov.ru/wp-content/uploads/2023/04/tabliczy-sootvetstviya-pervichnyh-i-testovyh-ballov-ege.pdf" TargetMode="External"/><Relationship Id="rId27" Type="http://schemas.openxmlformats.org/officeDocument/2006/relationships/hyperlink" Target="https://obrnadzor.gov.ru/wp-content/uploads/2023/04/algoritm-ustanovleniya-sootvetstviya-pervichnyh-i-testovyh-ballov-ege.pdf" TargetMode="External"/><Relationship Id="rId30" Type="http://schemas.openxmlformats.org/officeDocument/2006/relationships/hyperlink" Target="https://obrnadzor.gov.ru/wp-content/uploads/2023/04/algoritm-ustanovleniya-sootvetstviya-pervichnyh-i-testovyh-ballov-ege.pdf" TargetMode="External"/><Relationship Id="rId35" Type="http://schemas.openxmlformats.org/officeDocument/2006/relationships/hyperlink" Target="https://obrnadzor.gov.ru/wp-content/uploads/2023/04/algoritm-ustanovleniya-sootvetstviya-pervichnyh-i-testovyh-ballov-ege.pdf" TargetMode="External"/><Relationship Id="rId43" Type="http://schemas.openxmlformats.org/officeDocument/2006/relationships/hyperlink" Target="https://obrnadzor.gov.ru/wp-content/uploads/2023/04/algoritm-ustanovleniya-sootvetstviya-pervichnyh-i-testovyh-ballov-ege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obrnadzor.gov.ru/gia/gia-11/rezultat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brnadzor.gov.ru/wp-content/uploads/2023/04/tabliczy-sootvetstviya-pervichnyh-i-testovyh-ballov-ege.pdf" TargetMode="External"/><Relationship Id="rId17" Type="http://schemas.openxmlformats.org/officeDocument/2006/relationships/hyperlink" Target="https://obrnadzor.gov.ru/wp-content/uploads/2023/04/tabliczy-sootvetstviya-pervichnyh-i-testovyh-ballov-ege.pdf" TargetMode="External"/><Relationship Id="rId25" Type="http://schemas.openxmlformats.org/officeDocument/2006/relationships/hyperlink" Target="https://obrnadzor.gov.ru/wp-content/uploads/2023/04/tabliczy-sootvetstviya-pervichnyh-i-testovyh-ballov-ege.pdf" TargetMode="External"/><Relationship Id="rId33" Type="http://schemas.openxmlformats.org/officeDocument/2006/relationships/hyperlink" Target="https://obrnadzor.gov.ru/wp-content/uploads/2023/04/algoritm-ustanovleniya-sootvetstviya-pervichnyh-i-testovyh-ballov-ege.pdf" TargetMode="External"/><Relationship Id="rId38" Type="http://schemas.openxmlformats.org/officeDocument/2006/relationships/hyperlink" Target="https://obrnadzor.gov.ru/wp-content/uploads/2023/04/algoritm-ustanovleniya-sootvetstviya-pervichnyh-i-testovyh-ballov-ege.pdf" TargetMode="External"/><Relationship Id="rId46" Type="http://schemas.openxmlformats.org/officeDocument/2006/relationships/hyperlink" Target="https://checkege.rustest.ru/" TargetMode="External"/><Relationship Id="rId20" Type="http://schemas.openxmlformats.org/officeDocument/2006/relationships/hyperlink" Target="https://obrnadzor.gov.ru/wp-content/uploads/2023/04/tabliczy-sootvetstviya-pervichnyh-i-testovyh-ballov-ege.pdf" TargetMode="External"/><Relationship Id="rId41" Type="http://schemas.openxmlformats.org/officeDocument/2006/relationships/hyperlink" Target="https://obrnadzor.gov.ru/wp-content/uploads/2023/04/algoritm-ustanovleniya-sootvetstviya-pervichnyh-i-testovyh-ballov-eg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obrnadzor.gov.ru/gia/gia-11/rezulta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2</cp:revision>
  <dcterms:created xsi:type="dcterms:W3CDTF">2024-02-09T09:46:00Z</dcterms:created>
  <dcterms:modified xsi:type="dcterms:W3CDTF">2024-02-09T09:46:00Z</dcterms:modified>
</cp:coreProperties>
</file>